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79CB5" w14:textId="3B37A0D2" w:rsidR="00157029" w:rsidRDefault="00D243D4">
      <w:r>
        <w:rPr>
          <w:noProof/>
          <w:lang w:val="fr-CA" w:eastAsia="fr-CA"/>
        </w:rPr>
        <w:drawing>
          <wp:inline distT="0" distB="0" distL="0" distR="0" wp14:anchorId="60217220" wp14:editId="0CFCFAED">
            <wp:extent cx="1666875" cy="1038225"/>
            <wp:effectExtent l="0" t="0" r="9525" b="9525"/>
            <wp:docPr id="31559977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99778" name="Image 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6875" cy="1038225"/>
                    </a:xfrm>
                    <a:prstGeom prst="rect">
                      <a:avLst/>
                    </a:prstGeom>
                    <a:noFill/>
                    <a:ln>
                      <a:noFill/>
                    </a:ln>
                  </pic:spPr>
                </pic:pic>
              </a:graphicData>
            </a:graphic>
          </wp:inline>
        </w:drawing>
      </w:r>
    </w:p>
    <w:p w14:paraId="4DD74372" w14:textId="77777777" w:rsidR="00D243D4" w:rsidRDefault="00D243D4"/>
    <w:p w14:paraId="6F0A705A" w14:textId="0E3467AA" w:rsidR="00D243D4" w:rsidRPr="00F17F5F" w:rsidRDefault="00D243D4">
      <w:pPr>
        <w:rPr>
          <w:sz w:val="52"/>
          <w:szCs w:val="52"/>
          <w:lang w:val="fr-CA"/>
        </w:rPr>
      </w:pPr>
      <w:r w:rsidRPr="00F17F5F">
        <w:rPr>
          <w:sz w:val="52"/>
          <w:szCs w:val="52"/>
          <w:lang w:val="fr-CA"/>
        </w:rPr>
        <w:t>Proc</w:t>
      </w:r>
      <w:r w:rsidRPr="00F17F5F">
        <w:rPr>
          <w:rFonts w:cstheme="minorHAnsi"/>
          <w:sz w:val="52"/>
          <w:szCs w:val="52"/>
          <w:lang w:val="fr-CA"/>
        </w:rPr>
        <w:t>è</w:t>
      </w:r>
      <w:r w:rsidRPr="00F17F5F">
        <w:rPr>
          <w:sz w:val="52"/>
          <w:szCs w:val="52"/>
          <w:lang w:val="fr-CA"/>
        </w:rPr>
        <w:t>s-verbal</w:t>
      </w:r>
    </w:p>
    <w:p w14:paraId="55CEA511" w14:textId="77777777" w:rsidR="00D243D4" w:rsidRPr="00F17F5F" w:rsidRDefault="00D243D4">
      <w:pPr>
        <w:rPr>
          <w:sz w:val="52"/>
          <w:szCs w:val="52"/>
          <w:lang w:val="fr-CA"/>
        </w:rPr>
      </w:pPr>
    </w:p>
    <w:p w14:paraId="73CA8186" w14:textId="77777777" w:rsidR="00F17F5F" w:rsidRPr="00F17F5F" w:rsidRDefault="00F17F5F" w:rsidP="00F17F5F">
      <w:pPr>
        <w:rPr>
          <w:lang w:val="fr-CA"/>
        </w:rPr>
      </w:pPr>
      <w:r w:rsidRPr="00F17F5F">
        <w:rPr>
          <w:lang w:val="fr-CA"/>
        </w:rPr>
        <w:t>18 novembre 2025</w:t>
      </w:r>
    </w:p>
    <w:p w14:paraId="3AD7F182" w14:textId="77777777" w:rsidR="00F17F5F" w:rsidRPr="00F17F5F" w:rsidRDefault="00F17F5F" w:rsidP="00F17F5F">
      <w:pPr>
        <w:rPr>
          <w:lang w:val="fr-CA"/>
        </w:rPr>
      </w:pPr>
      <w:r w:rsidRPr="00F17F5F">
        <w:rPr>
          <w:lang w:val="fr-CA"/>
        </w:rPr>
        <w:t>Procès-verbal de la réunion des membres de l’UTACH</w:t>
      </w:r>
    </w:p>
    <w:p w14:paraId="0958DD93" w14:textId="77777777" w:rsidR="00F17F5F" w:rsidRPr="00F17F5F" w:rsidRDefault="00F17F5F" w:rsidP="00F17F5F">
      <w:pPr>
        <w:rPr>
          <w:lang w:val="fr-CA"/>
        </w:rPr>
      </w:pPr>
    </w:p>
    <w:p w14:paraId="3138FF9C" w14:textId="77777777" w:rsidR="00F17F5F" w:rsidRPr="00F17F5F" w:rsidRDefault="00F17F5F" w:rsidP="00F17F5F">
      <w:pPr>
        <w:rPr>
          <w:lang w:val="fr-CA"/>
        </w:rPr>
      </w:pPr>
      <w:r w:rsidRPr="00F17F5F">
        <w:rPr>
          <w:lang w:val="fr-CA"/>
        </w:rPr>
        <w:t>1) La présidente, Huguette Leclerc, appelle l’assemblée à l’ordre. 23 membres sont présents.</w:t>
      </w:r>
    </w:p>
    <w:p w14:paraId="72B2C7C7" w14:textId="2E13CC4D" w:rsidR="00F17F5F" w:rsidRPr="00F17F5F" w:rsidRDefault="00F17F5F" w:rsidP="00F17F5F">
      <w:pPr>
        <w:rPr>
          <w:lang w:val="fr-CA"/>
        </w:rPr>
      </w:pPr>
      <w:r w:rsidRPr="00F17F5F">
        <w:rPr>
          <w:lang w:val="fr-CA"/>
        </w:rPr>
        <w:t xml:space="preserve">2) Adoption du procès-verbal de la dernière réunion des membres du 21 0ctobre 2025. Huguette en donne un compte-rendu succinct. Le secrétaire, Michel Gauthier, en propose l’adoption. Monique </w:t>
      </w:r>
      <w:proofErr w:type="spellStart"/>
      <w:r w:rsidRPr="00F17F5F">
        <w:rPr>
          <w:lang w:val="fr-CA"/>
        </w:rPr>
        <w:t>Sc</w:t>
      </w:r>
      <w:r w:rsidR="00CC5715">
        <w:rPr>
          <w:lang w:val="fr-CA"/>
        </w:rPr>
        <w:t>h</w:t>
      </w:r>
      <w:r w:rsidRPr="00F17F5F">
        <w:rPr>
          <w:lang w:val="fr-CA"/>
        </w:rPr>
        <w:t>ofield</w:t>
      </w:r>
      <w:proofErr w:type="spellEnd"/>
      <w:r w:rsidRPr="00F17F5F">
        <w:rPr>
          <w:lang w:val="fr-CA"/>
        </w:rPr>
        <w:t xml:space="preserve"> appuie. Accepté à l’unanimité.</w:t>
      </w:r>
    </w:p>
    <w:p w14:paraId="4FA721C4" w14:textId="77777777" w:rsidR="00F17F5F" w:rsidRPr="00F17F5F" w:rsidRDefault="00F17F5F" w:rsidP="00F17F5F">
      <w:pPr>
        <w:rPr>
          <w:lang w:val="fr-CA"/>
        </w:rPr>
      </w:pPr>
      <w:r w:rsidRPr="00F17F5F">
        <w:rPr>
          <w:lang w:val="fr-CA"/>
        </w:rPr>
        <w:t xml:space="preserve">3) Rapport financier. Marielle </w:t>
      </w:r>
      <w:proofErr w:type="spellStart"/>
      <w:r w:rsidRPr="00F17F5F">
        <w:rPr>
          <w:lang w:val="fr-CA"/>
        </w:rPr>
        <w:t>Lagacé</w:t>
      </w:r>
      <w:proofErr w:type="spellEnd"/>
      <w:r w:rsidRPr="00F17F5F">
        <w:rPr>
          <w:lang w:val="fr-CA"/>
        </w:rPr>
        <w:t xml:space="preserve"> fait la lecture du rapport du mois d’octobre et en propose l’adoption. Murielle </w:t>
      </w:r>
      <w:proofErr w:type="spellStart"/>
      <w:r w:rsidRPr="00F17F5F">
        <w:rPr>
          <w:lang w:val="fr-CA"/>
        </w:rPr>
        <w:t>Imbeault</w:t>
      </w:r>
      <w:proofErr w:type="spellEnd"/>
      <w:r w:rsidRPr="00F17F5F">
        <w:rPr>
          <w:lang w:val="fr-CA"/>
        </w:rPr>
        <w:t xml:space="preserve"> appuie. Accepté à l’unanimité. Voir rapport en annexe.</w:t>
      </w:r>
    </w:p>
    <w:p w14:paraId="59C73B70" w14:textId="77777777" w:rsidR="00F17F5F" w:rsidRPr="00F17F5F" w:rsidRDefault="00F17F5F" w:rsidP="00F17F5F">
      <w:pPr>
        <w:rPr>
          <w:lang w:val="fr-CA"/>
        </w:rPr>
      </w:pPr>
      <w:r w:rsidRPr="00F17F5F">
        <w:rPr>
          <w:lang w:val="fr-CA"/>
        </w:rPr>
        <w:t xml:space="preserve">4) </w:t>
      </w:r>
      <w:proofErr w:type="spellStart"/>
      <w:r w:rsidRPr="00F17F5F">
        <w:rPr>
          <w:lang w:val="fr-CA"/>
        </w:rPr>
        <w:t>Membership</w:t>
      </w:r>
      <w:proofErr w:type="spellEnd"/>
      <w:r w:rsidRPr="00F17F5F">
        <w:rPr>
          <w:lang w:val="fr-CA"/>
        </w:rPr>
        <w:t> : nous avons présentement 117 membres.</w:t>
      </w:r>
    </w:p>
    <w:p w14:paraId="4B400C5B" w14:textId="77777777" w:rsidR="00F17F5F" w:rsidRPr="00F17F5F" w:rsidRDefault="00F17F5F" w:rsidP="00F17F5F">
      <w:pPr>
        <w:rPr>
          <w:lang w:val="fr-CA"/>
        </w:rPr>
      </w:pPr>
      <w:r w:rsidRPr="00F17F5F">
        <w:rPr>
          <w:lang w:val="fr-CA"/>
        </w:rPr>
        <w:t>5) Cours</w:t>
      </w:r>
    </w:p>
    <w:p w14:paraId="7326E2A3" w14:textId="77777777" w:rsidR="00F17F5F" w:rsidRPr="00F17F5F" w:rsidRDefault="00F17F5F" w:rsidP="00F17F5F">
      <w:pPr>
        <w:rPr>
          <w:lang w:val="fr-CA"/>
        </w:rPr>
      </w:pPr>
      <w:r w:rsidRPr="00F17F5F">
        <w:rPr>
          <w:lang w:val="fr-CA"/>
        </w:rPr>
        <w:t xml:space="preserve">a- yoga. Les cours se terminent aujourd’hui pour la session d’automne, nous informe Gilberte Godin. </w:t>
      </w:r>
    </w:p>
    <w:p w14:paraId="35D1706A" w14:textId="423ADCD6" w:rsidR="00F17F5F" w:rsidRPr="00F17F5F" w:rsidRDefault="00F17F5F" w:rsidP="00F17F5F">
      <w:pPr>
        <w:rPr>
          <w:lang w:val="fr-CA"/>
        </w:rPr>
      </w:pPr>
      <w:r w:rsidRPr="00F17F5F">
        <w:rPr>
          <w:lang w:val="fr-CA"/>
        </w:rPr>
        <w:t xml:space="preserve">b- </w:t>
      </w:r>
      <w:proofErr w:type="spellStart"/>
      <w:r w:rsidRPr="00F17F5F">
        <w:rPr>
          <w:lang w:val="fr-CA"/>
        </w:rPr>
        <w:t>Zo</w:t>
      </w:r>
      <w:r>
        <w:rPr>
          <w:lang w:val="fr-CA"/>
        </w:rPr>
        <w:t>o</w:t>
      </w:r>
      <w:r w:rsidRPr="00F17F5F">
        <w:rPr>
          <w:lang w:val="fr-CA"/>
        </w:rPr>
        <w:t>mers</w:t>
      </w:r>
      <w:proofErr w:type="spellEnd"/>
      <w:r w:rsidRPr="00F17F5F">
        <w:rPr>
          <w:lang w:val="fr-CA"/>
        </w:rPr>
        <w:t>. Ces cours se terminent le 26 novembre. On se cherche une personne ou deux pour assurer la continuité de ce programme.</w:t>
      </w:r>
    </w:p>
    <w:p w14:paraId="3ED26D3F" w14:textId="7B74AAF5" w:rsidR="00F17F5F" w:rsidRPr="00F17F5F" w:rsidRDefault="00F17F5F" w:rsidP="00F17F5F">
      <w:pPr>
        <w:rPr>
          <w:lang w:val="fr-CA"/>
        </w:rPr>
      </w:pPr>
      <w:r w:rsidRPr="00F17F5F">
        <w:rPr>
          <w:lang w:val="fr-CA"/>
        </w:rPr>
        <w:t>Ceux et celles qui suivent ces cours ont 60% moins de chance de se retrouver à l’urgence d’un hôpital pour des chutes occasionnées par un manque d’équilibre</w:t>
      </w:r>
      <w:r>
        <w:rPr>
          <w:lang w:val="fr-CA"/>
        </w:rPr>
        <w:t>,</w:t>
      </w:r>
      <w:r w:rsidRPr="00F17F5F">
        <w:rPr>
          <w:lang w:val="fr-CA"/>
        </w:rPr>
        <w:t xml:space="preserve"> selon les statistiques </w:t>
      </w:r>
      <w:r>
        <w:rPr>
          <w:lang w:val="fr-CA"/>
        </w:rPr>
        <w:t xml:space="preserve">présentées par l’Université du Nouveau-Brunswick </w:t>
      </w:r>
      <w:r w:rsidRPr="00F17F5F">
        <w:rPr>
          <w:lang w:val="fr-CA"/>
        </w:rPr>
        <w:t>à cet effet.</w:t>
      </w:r>
    </w:p>
    <w:p w14:paraId="29B5E274" w14:textId="1F2AC0D2" w:rsidR="00F17F5F" w:rsidRPr="00F17F5F" w:rsidRDefault="00F17F5F" w:rsidP="00F17F5F">
      <w:pPr>
        <w:rPr>
          <w:lang w:val="fr-CA"/>
        </w:rPr>
      </w:pPr>
      <w:r w:rsidRPr="00F17F5F">
        <w:rPr>
          <w:lang w:val="fr-CA"/>
        </w:rPr>
        <w:t xml:space="preserve">c- </w:t>
      </w:r>
      <w:proofErr w:type="spellStart"/>
      <w:r w:rsidRPr="00F17F5F">
        <w:rPr>
          <w:lang w:val="fr-CA"/>
        </w:rPr>
        <w:t>Webinaire</w:t>
      </w:r>
      <w:proofErr w:type="spellEnd"/>
      <w:r w:rsidRPr="00F17F5F">
        <w:rPr>
          <w:lang w:val="fr-CA"/>
        </w:rPr>
        <w:t xml:space="preserve">. Murielle </w:t>
      </w:r>
      <w:proofErr w:type="spellStart"/>
      <w:r w:rsidRPr="00F17F5F">
        <w:rPr>
          <w:lang w:val="fr-CA"/>
        </w:rPr>
        <w:t>Imbeault</w:t>
      </w:r>
      <w:proofErr w:type="spellEnd"/>
      <w:r w:rsidRPr="00F17F5F">
        <w:rPr>
          <w:lang w:val="fr-CA"/>
        </w:rPr>
        <w:t xml:space="preserve"> </w:t>
      </w:r>
      <w:r w:rsidR="00F14F99">
        <w:rPr>
          <w:lang w:val="fr-CA"/>
        </w:rPr>
        <w:t>a</w:t>
      </w:r>
      <w:r>
        <w:rPr>
          <w:lang w:val="fr-CA"/>
        </w:rPr>
        <w:t xml:space="preserve"> regard</w:t>
      </w:r>
      <w:r w:rsidR="00F14F99">
        <w:rPr>
          <w:lang w:val="fr-CA"/>
        </w:rPr>
        <w:t>é</w:t>
      </w:r>
      <w:bookmarkStart w:id="0" w:name="_GoBack"/>
      <w:bookmarkEnd w:id="0"/>
      <w:r>
        <w:rPr>
          <w:lang w:val="fr-CA"/>
        </w:rPr>
        <w:t xml:space="preserve"> </w:t>
      </w:r>
      <w:r w:rsidRPr="00F17F5F">
        <w:rPr>
          <w:lang w:val="fr-CA"/>
        </w:rPr>
        <w:t>le</w:t>
      </w:r>
      <w:r>
        <w:rPr>
          <w:lang w:val="fr-CA"/>
        </w:rPr>
        <w:t>s</w:t>
      </w:r>
      <w:r w:rsidRPr="00F17F5F">
        <w:rPr>
          <w:lang w:val="fr-CA"/>
        </w:rPr>
        <w:t xml:space="preserve"> </w:t>
      </w:r>
      <w:proofErr w:type="spellStart"/>
      <w:r w:rsidRPr="00F17F5F">
        <w:rPr>
          <w:lang w:val="fr-CA"/>
        </w:rPr>
        <w:t>webinaire</w:t>
      </w:r>
      <w:r>
        <w:rPr>
          <w:lang w:val="fr-CA"/>
        </w:rPr>
        <w:t>s</w:t>
      </w:r>
      <w:proofErr w:type="spellEnd"/>
      <w:r>
        <w:rPr>
          <w:lang w:val="fr-CA"/>
        </w:rPr>
        <w:t xml:space="preserve"> proposés grat</w:t>
      </w:r>
      <w:r w:rsidR="00CC5715">
        <w:rPr>
          <w:lang w:val="fr-CA"/>
        </w:rPr>
        <w:t>u</w:t>
      </w:r>
      <w:r>
        <w:rPr>
          <w:lang w:val="fr-CA"/>
        </w:rPr>
        <w:t>itement par l’</w:t>
      </w:r>
      <w:proofErr w:type="spellStart"/>
      <w:r>
        <w:rPr>
          <w:lang w:val="fr-CA"/>
        </w:rPr>
        <w:t>Alumni</w:t>
      </w:r>
      <w:proofErr w:type="spellEnd"/>
      <w:r>
        <w:rPr>
          <w:lang w:val="fr-CA"/>
        </w:rPr>
        <w:t xml:space="preserve"> de l’Université de Moncton,</w:t>
      </w:r>
      <w:r w:rsidRPr="00F17F5F">
        <w:rPr>
          <w:lang w:val="fr-CA"/>
        </w:rPr>
        <w:t xml:space="preserve"> comme source d’information sur des sujets importants et qui nous </w:t>
      </w:r>
      <w:r w:rsidRPr="00F17F5F">
        <w:rPr>
          <w:lang w:val="fr-CA"/>
        </w:rPr>
        <w:lastRenderedPageBreak/>
        <w:t xml:space="preserve">concernent. Gilberte Godin ajoute qu’il y aura une émission importante sur la dépression saisonnière le 27 février prochain. </w:t>
      </w:r>
    </w:p>
    <w:p w14:paraId="41BD4A71" w14:textId="77777777" w:rsidR="00F17F5F" w:rsidRPr="00623439" w:rsidRDefault="00F17F5F" w:rsidP="00F17F5F">
      <w:pPr>
        <w:rPr>
          <w:lang w:val="fr-CA"/>
        </w:rPr>
      </w:pPr>
      <w:r w:rsidRPr="00623439">
        <w:rPr>
          <w:lang w:val="fr-CA"/>
        </w:rPr>
        <w:t>6)Options pour les rencontres futures</w:t>
      </w:r>
    </w:p>
    <w:p w14:paraId="15DDA3C6" w14:textId="77777777" w:rsidR="00F17F5F" w:rsidRPr="00F17F5F" w:rsidRDefault="00F17F5F" w:rsidP="00F17F5F">
      <w:pPr>
        <w:rPr>
          <w:lang w:val="fr-CA"/>
        </w:rPr>
      </w:pPr>
      <w:r w:rsidRPr="00F17F5F">
        <w:rPr>
          <w:lang w:val="fr-CA"/>
        </w:rPr>
        <w:t xml:space="preserve">Huguette </w:t>
      </w:r>
      <w:proofErr w:type="gramStart"/>
      <w:r w:rsidRPr="00F17F5F">
        <w:rPr>
          <w:lang w:val="fr-CA"/>
        </w:rPr>
        <w:t>Leclerc ,</w:t>
      </w:r>
      <w:proofErr w:type="gramEnd"/>
      <w:r w:rsidRPr="00F17F5F">
        <w:rPr>
          <w:lang w:val="fr-CA"/>
        </w:rPr>
        <w:t xml:space="preserve"> suite à certains commentaires de membres qui trouvent nos assemblées un peu trop formelles, suggère de simplifier les choses si c’est le bon vouloir de tous. À cet effet, Patrice Godin fait la proposition suivante : qu’une modification soit apportée au format actuel des rencontres des membres afin de se concentrer sur les présentations des personnes ressources et les échanges entre membres. Ainsi, on ne ferait plus la lecture du procès-verbal de la réunion précédente ni du rapport financier qui se retrouvent tous les deux sur le site web de l’UTACH. Dorénavant, seuls les points importants seraient présentés aux rencontres. De plus, Les procès-verbaux du conseil d’administration seraient aussi affichés sur le même site web. Lors des rencontres des membres, une période de questions permettrait aux membres de discuter de sujets qui leur sont importants. Marielle </w:t>
      </w:r>
      <w:proofErr w:type="spellStart"/>
      <w:r w:rsidRPr="00F17F5F">
        <w:rPr>
          <w:lang w:val="fr-CA"/>
        </w:rPr>
        <w:t>Lagacé</w:t>
      </w:r>
      <w:proofErr w:type="spellEnd"/>
      <w:r w:rsidRPr="00F17F5F">
        <w:rPr>
          <w:lang w:val="fr-CA"/>
        </w:rPr>
        <w:t xml:space="preserve"> appuie cette proposition. Acceptée à l’unanimité.</w:t>
      </w:r>
    </w:p>
    <w:p w14:paraId="72E0AAC8" w14:textId="77777777" w:rsidR="00F17F5F" w:rsidRPr="00F17F5F" w:rsidRDefault="00F17F5F" w:rsidP="00F17F5F">
      <w:pPr>
        <w:rPr>
          <w:lang w:val="fr-CA"/>
        </w:rPr>
      </w:pPr>
      <w:r w:rsidRPr="00F17F5F">
        <w:rPr>
          <w:lang w:val="fr-CA"/>
        </w:rPr>
        <w:t>7) Varia. Rien à ajouter.</w:t>
      </w:r>
    </w:p>
    <w:p w14:paraId="3004C247" w14:textId="60A18DAA" w:rsidR="00F17F5F" w:rsidRPr="00F17F5F" w:rsidRDefault="00F17F5F" w:rsidP="00F17F5F">
      <w:pPr>
        <w:rPr>
          <w:lang w:val="fr-CA"/>
        </w:rPr>
      </w:pPr>
      <w:r w:rsidRPr="00F17F5F">
        <w:rPr>
          <w:lang w:val="fr-CA"/>
        </w:rPr>
        <w:t>8)</w:t>
      </w:r>
      <w:r w:rsidR="00CC5715">
        <w:rPr>
          <w:lang w:val="fr-CA"/>
        </w:rPr>
        <w:t xml:space="preserve"> </w:t>
      </w:r>
      <w:r w:rsidRPr="00F17F5F">
        <w:rPr>
          <w:lang w:val="fr-CA"/>
        </w:rPr>
        <w:t xml:space="preserve">Ginette </w:t>
      </w:r>
      <w:proofErr w:type="spellStart"/>
      <w:r w:rsidRPr="00F17F5F">
        <w:rPr>
          <w:lang w:val="fr-CA"/>
        </w:rPr>
        <w:t>Legresley</w:t>
      </w:r>
      <w:proofErr w:type="spellEnd"/>
      <w:r w:rsidRPr="00F17F5F">
        <w:rPr>
          <w:lang w:val="fr-CA"/>
        </w:rPr>
        <w:t xml:space="preserve"> propose l’ajournement de la réunion.</w:t>
      </w:r>
    </w:p>
    <w:p w14:paraId="419DEEF1" w14:textId="77777777" w:rsidR="00F17F5F" w:rsidRPr="00F17F5F" w:rsidRDefault="00F17F5F" w:rsidP="00F17F5F">
      <w:pPr>
        <w:rPr>
          <w:lang w:val="fr-CA"/>
        </w:rPr>
      </w:pPr>
    </w:p>
    <w:p w14:paraId="62E46286" w14:textId="77777777" w:rsidR="00F17F5F" w:rsidRDefault="00F17F5F" w:rsidP="00F17F5F">
      <w:r w:rsidRPr="00F17F5F">
        <w:rPr>
          <w:lang w:val="fr-CA"/>
        </w:rPr>
        <w:t xml:space="preserve">Marie Comeau, notre invitée-conférencière, nous donne un aperçu de l’importance du yoga dans notre vie de tous les jours et du besoin de retourner en soi. </w:t>
      </w:r>
      <w:proofErr w:type="spellStart"/>
      <w:r>
        <w:t>Gilberte</w:t>
      </w:r>
      <w:proofErr w:type="spellEnd"/>
      <w:r>
        <w:t xml:space="preserve"> Godin a </w:t>
      </w:r>
      <w:proofErr w:type="spellStart"/>
      <w:r>
        <w:t>présenté</w:t>
      </w:r>
      <w:proofErr w:type="spellEnd"/>
      <w:r>
        <w:t xml:space="preserve"> </w:t>
      </w:r>
      <w:proofErr w:type="gramStart"/>
      <w:r>
        <w:t>et</w:t>
      </w:r>
      <w:proofErr w:type="gramEnd"/>
      <w:r>
        <w:t xml:space="preserve"> </w:t>
      </w:r>
      <w:proofErr w:type="spellStart"/>
      <w:r>
        <w:t>remercié</w:t>
      </w:r>
      <w:proofErr w:type="spellEnd"/>
      <w:r>
        <w:t xml:space="preserve"> Marie.</w:t>
      </w:r>
    </w:p>
    <w:p w14:paraId="6EA499C0" w14:textId="77777777" w:rsidR="00F17F5F" w:rsidRDefault="00F17F5F" w:rsidP="00F17F5F"/>
    <w:p w14:paraId="3BAB4A3E" w14:textId="77777777" w:rsidR="00F17F5F" w:rsidRDefault="00F17F5F" w:rsidP="00F17F5F">
      <w:proofErr w:type="spellStart"/>
      <w:r>
        <w:t>Secrétaire</w:t>
      </w:r>
      <w:proofErr w:type="spellEnd"/>
      <w:r>
        <w:t>, Michel Gauthier</w:t>
      </w:r>
    </w:p>
    <w:p w14:paraId="453B6AB5" w14:textId="71502890" w:rsidR="008D59B3" w:rsidRDefault="008D59B3">
      <w:pPr>
        <w:rPr>
          <w:sz w:val="52"/>
          <w:szCs w:val="52"/>
        </w:rPr>
      </w:pPr>
      <w:r>
        <w:rPr>
          <w:sz w:val="52"/>
          <w:szCs w:val="52"/>
        </w:rPr>
        <w:br w:type="page"/>
      </w:r>
    </w:p>
    <w:tbl>
      <w:tblPr>
        <w:tblStyle w:val="TableGrid"/>
        <w:tblW w:w="0" w:type="auto"/>
        <w:tblLook w:val="04A0" w:firstRow="1" w:lastRow="0" w:firstColumn="1" w:lastColumn="0" w:noHBand="0" w:noVBand="1"/>
      </w:tblPr>
      <w:tblGrid>
        <w:gridCol w:w="3031"/>
        <w:gridCol w:w="2879"/>
        <w:gridCol w:w="1590"/>
        <w:gridCol w:w="2076"/>
      </w:tblGrid>
      <w:tr w:rsidR="008D59B3" w:rsidRPr="00F14F99" w14:paraId="57C27723" w14:textId="77777777" w:rsidTr="00154C6B">
        <w:trPr>
          <w:trHeight w:val="1715"/>
        </w:trPr>
        <w:tc>
          <w:tcPr>
            <w:tcW w:w="9576" w:type="dxa"/>
            <w:gridSpan w:val="4"/>
          </w:tcPr>
          <w:p w14:paraId="76C88F25" w14:textId="77777777" w:rsidR="008D59B3" w:rsidRPr="00F14F99" w:rsidRDefault="008D59B3" w:rsidP="00154C6B">
            <w:pPr>
              <w:rPr>
                <w:b/>
                <w:sz w:val="36"/>
                <w:szCs w:val="36"/>
                <w:lang w:val="fr-CA"/>
              </w:rPr>
            </w:pPr>
          </w:p>
          <w:p w14:paraId="072865FF" w14:textId="77777777" w:rsidR="008D59B3" w:rsidRPr="008D59B3" w:rsidRDefault="008D59B3" w:rsidP="00154C6B">
            <w:pPr>
              <w:rPr>
                <w:b/>
                <w:sz w:val="36"/>
                <w:szCs w:val="36"/>
                <w:lang w:val="fr-CA"/>
              </w:rPr>
            </w:pPr>
            <w:proofErr w:type="spellStart"/>
            <w:r w:rsidRPr="008D59B3">
              <w:rPr>
                <w:b/>
                <w:sz w:val="36"/>
                <w:szCs w:val="36"/>
                <w:lang w:val="fr-CA"/>
              </w:rPr>
              <w:t>Etat</w:t>
            </w:r>
            <w:proofErr w:type="spellEnd"/>
            <w:r w:rsidRPr="008D59B3">
              <w:rPr>
                <w:b/>
                <w:sz w:val="36"/>
                <w:szCs w:val="36"/>
                <w:lang w:val="fr-CA"/>
              </w:rPr>
              <w:t xml:space="preserve"> des revenus et dépenses pour le mois: </w:t>
            </w:r>
            <w:r w:rsidRPr="008D59B3">
              <w:rPr>
                <w:b/>
                <w:i/>
                <w:sz w:val="36"/>
                <w:szCs w:val="36"/>
                <w:u w:val="single"/>
                <w:lang w:val="fr-CA"/>
              </w:rPr>
              <w:t>Octobre 2025</w:t>
            </w:r>
          </w:p>
          <w:p w14:paraId="33DD9C50" w14:textId="77777777" w:rsidR="008D59B3" w:rsidRPr="008D59B3" w:rsidRDefault="008D59B3" w:rsidP="00154C6B">
            <w:pPr>
              <w:rPr>
                <w:sz w:val="36"/>
                <w:szCs w:val="36"/>
                <w:lang w:val="fr-CA"/>
              </w:rPr>
            </w:pPr>
          </w:p>
        </w:tc>
      </w:tr>
      <w:tr w:rsidR="008D59B3" w14:paraId="7088095A" w14:textId="77777777" w:rsidTr="00154C6B">
        <w:tc>
          <w:tcPr>
            <w:tcW w:w="3031" w:type="dxa"/>
          </w:tcPr>
          <w:p w14:paraId="5A615DE5" w14:textId="77777777" w:rsidR="008D59B3" w:rsidRPr="000904A0" w:rsidRDefault="008D59B3" w:rsidP="00154C6B">
            <w:pPr>
              <w:rPr>
                <w:b/>
                <w:sz w:val="36"/>
                <w:szCs w:val="36"/>
              </w:rPr>
            </w:pPr>
            <w:proofErr w:type="spellStart"/>
            <w:r w:rsidRPr="000904A0">
              <w:rPr>
                <w:b/>
                <w:sz w:val="36"/>
                <w:szCs w:val="36"/>
              </w:rPr>
              <w:t>Solde</w:t>
            </w:r>
            <w:proofErr w:type="spellEnd"/>
            <w:r w:rsidRPr="000904A0">
              <w:rPr>
                <w:b/>
                <w:sz w:val="36"/>
                <w:szCs w:val="36"/>
              </w:rPr>
              <w:t xml:space="preserve"> </w:t>
            </w:r>
            <w:proofErr w:type="spellStart"/>
            <w:r w:rsidRPr="000904A0">
              <w:rPr>
                <w:b/>
                <w:sz w:val="36"/>
                <w:szCs w:val="36"/>
              </w:rPr>
              <w:t>reporté</w:t>
            </w:r>
            <w:proofErr w:type="spellEnd"/>
            <w:r w:rsidRPr="000904A0">
              <w:rPr>
                <w:b/>
                <w:sz w:val="36"/>
                <w:szCs w:val="36"/>
              </w:rPr>
              <w:t>:</w:t>
            </w:r>
          </w:p>
        </w:tc>
        <w:tc>
          <w:tcPr>
            <w:tcW w:w="4469" w:type="dxa"/>
            <w:gridSpan w:val="2"/>
          </w:tcPr>
          <w:p w14:paraId="645BEE69" w14:textId="77777777" w:rsidR="008D59B3" w:rsidRPr="000904A0" w:rsidRDefault="008D59B3" w:rsidP="00154C6B">
            <w:pPr>
              <w:rPr>
                <w:b/>
                <w:sz w:val="36"/>
                <w:szCs w:val="36"/>
              </w:rPr>
            </w:pPr>
          </w:p>
        </w:tc>
        <w:tc>
          <w:tcPr>
            <w:tcW w:w="2076" w:type="dxa"/>
          </w:tcPr>
          <w:p w14:paraId="35D61247" w14:textId="77777777" w:rsidR="008D59B3" w:rsidRPr="000904A0" w:rsidRDefault="008D59B3" w:rsidP="00154C6B">
            <w:pPr>
              <w:jc w:val="center"/>
              <w:rPr>
                <w:b/>
                <w:sz w:val="36"/>
                <w:szCs w:val="36"/>
              </w:rPr>
            </w:pPr>
            <w:r>
              <w:rPr>
                <w:b/>
                <w:sz w:val="36"/>
                <w:szCs w:val="36"/>
              </w:rPr>
              <w:t>5,464.80$</w:t>
            </w:r>
          </w:p>
        </w:tc>
      </w:tr>
      <w:tr w:rsidR="008D59B3" w14:paraId="6276A8A1" w14:textId="77777777" w:rsidTr="00154C6B">
        <w:tc>
          <w:tcPr>
            <w:tcW w:w="9576" w:type="dxa"/>
            <w:gridSpan w:val="4"/>
          </w:tcPr>
          <w:p w14:paraId="2DDBC08D" w14:textId="77777777" w:rsidR="008D59B3" w:rsidRPr="000904A0" w:rsidRDefault="008D59B3" w:rsidP="00154C6B">
            <w:pPr>
              <w:rPr>
                <w:b/>
                <w:sz w:val="36"/>
                <w:szCs w:val="36"/>
              </w:rPr>
            </w:pPr>
          </w:p>
        </w:tc>
      </w:tr>
      <w:tr w:rsidR="008D59B3" w14:paraId="53FA61DB" w14:textId="77777777" w:rsidTr="00154C6B">
        <w:tc>
          <w:tcPr>
            <w:tcW w:w="3031" w:type="dxa"/>
          </w:tcPr>
          <w:p w14:paraId="7D30064C" w14:textId="77777777" w:rsidR="008D59B3" w:rsidRPr="000904A0" w:rsidRDefault="008D59B3" w:rsidP="00154C6B">
            <w:pPr>
              <w:rPr>
                <w:b/>
                <w:sz w:val="36"/>
                <w:szCs w:val="36"/>
              </w:rPr>
            </w:pPr>
            <w:proofErr w:type="spellStart"/>
            <w:r w:rsidRPr="000904A0">
              <w:rPr>
                <w:b/>
                <w:sz w:val="36"/>
                <w:szCs w:val="36"/>
              </w:rPr>
              <w:t>Revenus</w:t>
            </w:r>
            <w:proofErr w:type="spellEnd"/>
            <w:r w:rsidRPr="000904A0">
              <w:rPr>
                <w:b/>
                <w:sz w:val="36"/>
                <w:szCs w:val="36"/>
              </w:rPr>
              <w:t>:</w:t>
            </w:r>
          </w:p>
        </w:tc>
        <w:tc>
          <w:tcPr>
            <w:tcW w:w="4469" w:type="dxa"/>
            <w:gridSpan w:val="2"/>
          </w:tcPr>
          <w:p w14:paraId="366E7B56" w14:textId="77777777" w:rsidR="008D59B3" w:rsidRPr="000904A0" w:rsidRDefault="008D59B3" w:rsidP="00154C6B">
            <w:pPr>
              <w:jc w:val="center"/>
              <w:rPr>
                <w:b/>
                <w:sz w:val="36"/>
                <w:szCs w:val="36"/>
              </w:rPr>
            </w:pPr>
            <w:r>
              <w:rPr>
                <w:b/>
                <w:sz w:val="36"/>
                <w:szCs w:val="36"/>
              </w:rPr>
              <w:t>435.00$</w:t>
            </w:r>
          </w:p>
        </w:tc>
        <w:tc>
          <w:tcPr>
            <w:tcW w:w="2076" w:type="dxa"/>
          </w:tcPr>
          <w:p w14:paraId="477E511B" w14:textId="77777777" w:rsidR="008D59B3" w:rsidRPr="000904A0" w:rsidRDefault="008D59B3" w:rsidP="00154C6B">
            <w:pPr>
              <w:rPr>
                <w:b/>
                <w:sz w:val="36"/>
                <w:szCs w:val="36"/>
              </w:rPr>
            </w:pPr>
          </w:p>
        </w:tc>
      </w:tr>
      <w:tr w:rsidR="008D59B3" w14:paraId="2CBA4E90" w14:textId="77777777" w:rsidTr="00154C6B">
        <w:tc>
          <w:tcPr>
            <w:tcW w:w="3031" w:type="dxa"/>
          </w:tcPr>
          <w:p w14:paraId="478901B9" w14:textId="77777777" w:rsidR="008D59B3" w:rsidRPr="005503DD" w:rsidRDefault="008D59B3" w:rsidP="00154C6B">
            <w:pPr>
              <w:rPr>
                <w:sz w:val="36"/>
                <w:szCs w:val="36"/>
              </w:rPr>
            </w:pPr>
            <w:r w:rsidRPr="005503DD">
              <w:rPr>
                <w:sz w:val="36"/>
                <w:szCs w:val="36"/>
              </w:rPr>
              <w:t xml:space="preserve"> -</w:t>
            </w:r>
            <w:proofErr w:type="spellStart"/>
            <w:r w:rsidRPr="005503DD">
              <w:rPr>
                <w:sz w:val="36"/>
                <w:szCs w:val="36"/>
              </w:rPr>
              <w:t>Cotisations</w:t>
            </w:r>
            <w:proofErr w:type="spellEnd"/>
            <w:r w:rsidRPr="005503DD">
              <w:rPr>
                <w:sz w:val="36"/>
                <w:szCs w:val="36"/>
              </w:rPr>
              <w:t>:</w:t>
            </w:r>
          </w:p>
        </w:tc>
        <w:tc>
          <w:tcPr>
            <w:tcW w:w="2879" w:type="dxa"/>
          </w:tcPr>
          <w:p w14:paraId="6E13F703" w14:textId="77777777" w:rsidR="008D59B3" w:rsidRPr="007D726A" w:rsidRDefault="008D59B3" w:rsidP="00154C6B">
            <w:pPr>
              <w:rPr>
                <w:sz w:val="36"/>
                <w:szCs w:val="36"/>
              </w:rPr>
            </w:pPr>
            <w:r w:rsidRPr="007D726A">
              <w:rPr>
                <w:sz w:val="36"/>
                <w:szCs w:val="36"/>
              </w:rPr>
              <w:t>435.00</w:t>
            </w:r>
          </w:p>
        </w:tc>
        <w:tc>
          <w:tcPr>
            <w:tcW w:w="1590" w:type="dxa"/>
          </w:tcPr>
          <w:p w14:paraId="0EF82202" w14:textId="77777777" w:rsidR="008D59B3" w:rsidRPr="000904A0" w:rsidRDefault="008D59B3" w:rsidP="00154C6B">
            <w:pPr>
              <w:rPr>
                <w:b/>
                <w:sz w:val="36"/>
                <w:szCs w:val="36"/>
              </w:rPr>
            </w:pPr>
          </w:p>
        </w:tc>
        <w:tc>
          <w:tcPr>
            <w:tcW w:w="2076" w:type="dxa"/>
          </w:tcPr>
          <w:p w14:paraId="603D5A33" w14:textId="77777777" w:rsidR="008D59B3" w:rsidRPr="000904A0" w:rsidRDefault="008D59B3" w:rsidP="00154C6B">
            <w:pPr>
              <w:rPr>
                <w:b/>
                <w:sz w:val="36"/>
                <w:szCs w:val="36"/>
              </w:rPr>
            </w:pPr>
          </w:p>
        </w:tc>
      </w:tr>
      <w:tr w:rsidR="008D59B3" w14:paraId="3B918F9F" w14:textId="77777777" w:rsidTr="00154C6B">
        <w:tc>
          <w:tcPr>
            <w:tcW w:w="3031" w:type="dxa"/>
          </w:tcPr>
          <w:p w14:paraId="0264C3B5" w14:textId="77777777" w:rsidR="008D59B3" w:rsidRPr="005503DD" w:rsidRDefault="008D59B3" w:rsidP="00154C6B">
            <w:pPr>
              <w:rPr>
                <w:sz w:val="36"/>
                <w:szCs w:val="36"/>
              </w:rPr>
            </w:pPr>
            <w:r w:rsidRPr="005503DD">
              <w:rPr>
                <w:sz w:val="36"/>
                <w:szCs w:val="36"/>
              </w:rPr>
              <w:t>-</w:t>
            </w:r>
            <w:proofErr w:type="spellStart"/>
            <w:r w:rsidRPr="005503DD">
              <w:rPr>
                <w:sz w:val="36"/>
                <w:szCs w:val="36"/>
              </w:rPr>
              <w:t>Cours</w:t>
            </w:r>
            <w:proofErr w:type="spellEnd"/>
            <w:r w:rsidRPr="005503DD">
              <w:rPr>
                <w:sz w:val="36"/>
                <w:szCs w:val="36"/>
              </w:rPr>
              <w:t xml:space="preserve"> de Yoga:</w:t>
            </w:r>
          </w:p>
        </w:tc>
        <w:tc>
          <w:tcPr>
            <w:tcW w:w="2879" w:type="dxa"/>
          </w:tcPr>
          <w:p w14:paraId="6EB49E9D" w14:textId="77777777" w:rsidR="008D59B3" w:rsidRPr="000904A0" w:rsidRDefault="008D59B3" w:rsidP="00154C6B">
            <w:pPr>
              <w:rPr>
                <w:b/>
                <w:sz w:val="36"/>
                <w:szCs w:val="36"/>
              </w:rPr>
            </w:pPr>
          </w:p>
        </w:tc>
        <w:tc>
          <w:tcPr>
            <w:tcW w:w="1590" w:type="dxa"/>
          </w:tcPr>
          <w:p w14:paraId="2235DF28" w14:textId="77777777" w:rsidR="008D59B3" w:rsidRPr="000904A0" w:rsidRDefault="008D59B3" w:rsidP="00154C6B">
            <w:pPr>
              <w:rPr>
                <w:b/>
                <w:sz w:val="36"/>
                <w:szCs w:val="36"/>
              </w:rPr>
            </w:pPr>
          </w:p>
        </w:tc>
        <w:tc>
          <w:tcPr>
            <w:tcW w:w="2076" w:type="dxa"/>
          </w:tcPr>
          <w:p w14:paraId="07BEBE27" w14:textId="77777777" w:rsidR="008D59B3" w:rsidRPr="000904A0" w:rsidRDefault="008D59B3" w:rsidP="00154C6B">
            <w:pPr>
              <w:rPr>
                <w:b/>
                <w:sz w:val="36"/>
                <w:szCs w:val="36"/>
              </w:rPr>
            </w:pPr>
          </w:p>
        </w:tc>
      </w:tr>
      <w:tr w:rsidR="008D59B3" w14:paraId="2A71E849" w14:textId="77777777" w:rsidTr="00154C6B">
        <w:tc>
          <w:tcPr>
            <w:tcW w:w="3031" w:type="dxa"/>
          </w:tcPr>
          <w:p w14:paraId="5A3F9C1B" w14:textId="77777777" w:rsidR="008D59B3" w:rsidRPr="005503DD" w:rsidRDefault="008D59B3" w:rsidP="00154C6B">
            <w:pPr>
              <w:rPr>
                <w:sz w:val="36"/>
                <w:szCs w:val="36"/>
              </w:rPr>
            </w:pPr>
            <w:r w:rsidRPr="005503DD">
              <w:rPr>
                <w:sz w:val="36"/>
                <w:szCs w:val="36"/>
              </w:rPr>
              <w:t xml:space="preserve"> -</w:t>
            </w:r>
            <w:proofErr w:type="spellStart"/>
            <w:r w:rsidRPr="005503DD">
              <w:rPr>
                <w:sz w:val="36"/>
                <w:szCs w:val="36"/>
              </w:rPr>
              <w:t>Zoomers</w:t>
            </w:r>
            <w:proofErr w:type="spellEnd"/>
            <w:r w:rsidRPr="005503DD">
              <w:rPr>
                <w:sz w:val="36"/>
                <w:szCs w:val="36"/>
              </w:rPr>
              <w:t>:</w:t>
            </w:r>
          </w:p>
        </w:tc>
        <w:tc>
          <w:tcPr>
            <w:tcW w:w="2879" w:type="dxa"/>
          </w:tcPr>
          <w:p w14:paraId="55548D60" w14:textId="77777777" w:rsidR="008D59B3" w:rsidRPr="000904A0" w:rsidRDefault="008D59B3" w:rsidP="00154C6B">
            <w:pPr>
              <w:rPr>
                <w:b/>
                <w:sz w:val="36"/>
                <w:szCs w:val="36"/>
              </w:rPr>
            </w:pPr>
          </w:p>
        </w:tc>
        <w:tc>
          <w:tcPr>
            <w:tcW w:w="1590" w:type="dxa"/>
          </w:tcPr>
          <w:p w14:paraId="27C0865A" w14:textId="77777777" w:rsidR="008D59B3" w:rsidRPr="000904A0" w:rsidRDefault="008D59B3" w:rsidP="00154C6B">
            <w:pPr>
              <w:rPr>
                <w:b/>
                <w:sz w:val="36"/>
                <w:szCs w:val="36"/>
              </w:rPr>
            </w:pPr>
          </w:p>
        </w:tc>
        <w:tc>
          <w:tcPr>
            <w:tcW w:w="2076" w:type="dxa"/>
          </w:tcPr>
          <w:p w14:paraId="1FEEE272" w14:textId="77777777" w:rsidR="008D59B3" w:rsidRPr="000904A0" w:rsidRDefault="008D59B3" w:rsidP="00154C6B">
            <w:pPr>
              <w:rPr>
                <w:b/>
                <w:sz w:val="36"/>
                <w:szCs w:val="36"/>
              </w:rPr>
            </w:pPr>
          </w:p>
        </w:tc>
      </w:tr>
      <w:tr w:rsidR="008D59B3" w14:paraId="7DABCE04" w14:textId="77777777" w:rsidTr="00154C6B">
        <w:trPr>
          <w:trHeight w:val="826"/>
        </w:trPr>
        <w:tc>
          <w:tcPr>
            <w:tcW w:w="9576" w:type="dxa"/>
            <w:gridSpan w:val="4"/>
          </w:tcPr>
          <w:p w14:paraId="6EE90D30" w14:textId="77777777" w:rsidR="008D59B3" w:rsidRDefault="008D59B3" w:rsidP="00154C6B"/>
        </w:tc>
      </w:tr>
      <w:tr w:rsidR="008D59B3" w14:paraId="792835B9" w14:textId="77777777" w:rsidTr="00154C6B">
        <w:tc>
          <w:tcPr>
            <w:tcW w:w="3031" w:type="dxa"/>
          </w:tcPr>
          <w:p w14:paraId="430B58BA" w14:textId="77777777" w:rsidR="008D59B3" w:rsidRPr="000904A0" w:rsidRDefault="008D59B3" w:rsidP="00154C6B">
            <w:pPr>
              <w:rPr>
                <w:b/>
                <w:sz w:val="36"/>
                <w:szCs w:val="36"/>
              </w:rPr>
            </w:pPr>
            <w:proofErr w:type="spellStart"/>
            <w:r w:rsidRPr="000904A0">
              <w:rPr>
                <w:b/>
                <w:sz w:val="36"/>
                <w:szCs w:val="36"/>
              </w:rPr>
              <w:t>Dépenses</w:t>
            </w:r>
            <w:proofErr w:type="spellEnd"/>
            <w:r w:rsidRPr="000904A0">
              <w:rPr>
                <w:b/>
                <w:sz w:val="36"/>
                <w:szCs w:val="36"/>
              </w:rPr>
              <w:t>:</w:t>
            </w:r>
          </w:p>
        </w:tc>
        <w:tc>
          <w:tcPr>
            <w:tcW w:w="4469" w:type="dxa"/>
            <w:gridSpan w:val="2"/>
          </w:tcPr>
          <w:p w14:paraId="2557B95B" w14:textId="77777777" w:rsidR="008D59B3" w:rsidRPr="00EC7ACE" w:rsidRDefault="008D59B3" w:rsidP="00154C6B">
            <w:pPr>
              <w:jc w:val="center"/>
              <w:rPr>
                <w:b/>
                <w:sz w:val="36"/>
                <w:szCs w:val="36"/>
              </w:rPr>
            </w:pPr>
            <w:r>
              <w:rPr>
                <w:b/>
                <w:sz w:val="36"/>
                <w:szCs w:val="36"/>
              </w:rPr>
              <w:t>131.60$</w:t>
            </w:r>
          </w:p>
        </w:tc>
        <w:tc>
          <w:tcPr>
            <w:tcW w:w="2076" w:type="dxa"/>
          </w:tcPr>
          <w:p w14:paraId="316E8D1C" w14:textId="77777777" w:rsidR="008D59B3" w:rsidRDefault="008D59B3" w:rsidP="00154C6B"/>
        </w:tc>
      </w:tr>
      <w:tr w:rsidR="008D59B3" w14:paraId="1A775C47" w14:textId="77777777" w:rsidTr="00154C6B">
        <w:tc>
          <w:tcPr>
            <w:tcW w:w="3031" w:type="dxa"/>
          </w:tcPr>
          <w:p w14:paraId="16A1F026" w14:textId="77777777" w:rsidR="008D59B3" w:rsidRPr="005503DD" w:rsidRDefault="008D59B3" w:rsidP="00154C6B">
            <w:pPr>
              <w:rPr>
                <w:sz w:val="36"/>
                <w:szCs w:val="36"/>
              </w:rPr>
            </w:pPr>
            <w:r w:rsidRPr="005503DD">
              <w:rPr>
                <w:sz w:val="36"/>
                <w:szCs w:val="36"/>
              </w:rPr>
              <w:t>-</w:t>
            </w:r>
            <w:proofErr w:type="spellStart"/>
            <w:r w:rsidRPr="005503DD">
              <w:rPr>
                <w:sz w:val="36"/>
                <w:szCs w:val="36"/>
              </w:rPr>
              <w:t>Frais</w:t>
            </w:r>
            <w:proofErr w:type="spellEnd"/>
            <w:r w:rsidRPr="005503DD">
              <w:rPr>
                <w:sz w:val="36"/>
                <w:szCs w:val="36"/>
              </w:rPr>
              <w:t xml:space="preserve"> </w:t>
            </w:r>
            <w:proofErr w:type="spellStart"/>
            <w:r w:rsidRPr="005503DD">
              <w:rPr>
                <w:sz w:val="36"/>
                <w:szCs w:val="36"/>
              </w:rPr>
              <w:t>bancaires</w:t>
            </w:r>
            <w:proofErr w:type="spellEnd"/>
            <w:r w:rsidRPr="005503DD">
              <w:rPr>
                <w:sz w:val="36"/>
                <w:szCs w:val="36"/>
              </w:rPr>
              <w:t>:</w:t>
            </w:r>
          </w:p>
        </w:tc>
        <w:tc>
          <w:tcPr>
            <w:tcW w:w="2879" w:type="dxa"/>
          </w:tcPr>
          <w:p w14:paraId="5D8691AF" w14:textId="77777777" w:rsidR="008D59B3" w:rsidRPr="005503DD" w:rsidRDefault="008D59B3" w:rsidP="00154C6B">
            <w:pPr>
              <w:rPr>
                <w:sz w:val="32"/>
                <w:szCs w:val="32"/>
              </w:rPr>
            </w:pPr>
            <w:r>
              <w:rPr>
                <w:sz w:val="32"/>
                <w:szCs w:val="32"/>
              </w:rPr>
              <w:t>2.95</w:t>
            </w:r>
          </w:p>
        </w:tc>
        <w:tc>
          <w:tcPr>
            <w:tcW w:w="1590" w:type="dxa"/>
          </w:tcPr>
          <w:p w14:paraId="0E8FC30A" w14:textId="77777777" w:rsidR="008D59B3" w:rsidRDefault="008D59B3" w:rsidP="00154C6B"/>
        </w:tc>
        <w:tc>
          <w:tcPr>
            <w:tcW w:w="2076" w:type="dxa"/>
          </w:tcPr>
          <w:p w14:paraId="3C3A0FA7" w14:textId="77777777" w:rsidR="008D59B3" w:rsidRDefault="008D59B3" w:rsidP="00154C6B"/>
        </w:tc>
      </w:tr>
      <w:tr w:rsidR="008D59B3" w14:paraId="36D00411" w14:textId="77777777" w:rsidTr="00154C6B">
        <w:tc>
          <w:tcPr>
            <w:tcW w:w="3031" w:type="dxa"/>
          </w:tcPr>
          <w:p w14:paraId="701BC4C4" w14:textId="77777777" w:rsidR="008D59B3" w:rsidRPr="005503DD" w:rsidRDefault="008D59B3" w:rsidP="00154C6B">
            <w:pPr>
              <w:rPr>
                <w:sz w:val="36"/>
                <w:szCs w:val="36"/>
              </w:rPr>
            </w:pPr>
            <w:r w:rsidRPr="005503DD">
              <w:rPr>
                <w:sz w:val="36"/>
                <w:szCs w:val="36"/>
              </w:rPr>
              <w:t>-</w:t>
            </w:r>
            <w:proofErr w:type="spellStart"/>
            <w:r w:rsidRPr="005503DD">
              <w:rPr>
                <w:sz w:val="36"/>
                <w:szCs w:val="36"/>
              </w:rPr>
              <w:t>Cours</w:t>
            </w:r>
            <w:proofErr w:type="spellEnd"/>
            <w:r w:rsidRPr="005503DD">
              <w:rPr>
                <w:sz w:val="36"/>
                <w:szCs w:val="36"/>
              </w:rPr>
              <w:t xml:space="preserve"> de Yoga:</w:t>
            </w:r>
          </w:p>
        </w:tc>
        <w:tc>
          <w:tcPr>
            <w:tcW w:w="2879" w:type="dxa"/>
          </w:tcPr>
          <w:p w14:paraId="74587D26" w14:textId="77777777" w:rsidR="008D59B3" w:rsidRPr="005503DD" w:rsidRDefault="008D59B3" w:rsidP="00154C6B">
            <w:pPr>
              <w:rPr>
                <w:sz w:val="32"/>
                <w:szCs w:val="32"/>
              </w:rPr>
            </w:pPr>
          </w:p>
        </w:tc>
        <w:tc>
          <w:tcPr>
            <w:tcW w:w="1590" w:type="dxa"/>
          </w:tcPr>
          <w:p w14:paraId="01C61504" w14:textId="77777777" w:rsidR="008D59B3" w:rsidRDefault="008D59B3" w:rsidP="00154C6B"/>
        </w:tc>
        <w:tc>
          <w:tcPr>
            <w:tcW w:w="2076" w:type="dxa"/>
          </w:tcPr>
          <w:p w14:paraId="2720F7D2" w14:textId="77777777" w:rsidR="008D59B3" w:rsidRDefault="008D59B3" w:rsidP="00154C6B"/>
        </w:tc>
      </w:tr>
      <w:tr w:rsidR="008D59B3" w14:paraId="6D96FF28" w14:textId="77777777" w:rsidTr="00154C6B">
        <w:tc>
          <w:tcPr>
            <w:tcW w:w="3031" w:type="dxa"/>
          </w:tcPr>
          <w:p w14:paraId="6538C34F" w14:textId="77777777" w:rsidR="008D59B3" w:rsidRPr="005503DD" w:rsidRDefault="008D59B3" w:rsidP="00154C6B">
            <w:pPr>
              <w:rPr>
                <w:sz w:val="36"/>
                <w:szCs w:val="36"/>
              </w:rPr>
            </w:pPr>
            <w:r w:rsidRPr="005503DD">
              <w:rPr>
                <w:sz w:val="36"/>
                <w:szCs w:val="36"/>
              </w:rPr>
              <w:softHyphen/>
              <w:t>-</w:t>
            </w:r>
            <w:proofErr w:type="spellStart"/>
            <w:r w:rsidRPr="005503DD">
              <w:rPr>
                <w:sz w:val="36"/>
                <w:szCs w:val="36"/>
              </w:rPr>
              <w:t>Zoomer</w:t>
            </w:r>
            <w:proofErr w:type="spellEnd"/>
            <w:r w:rsidRPr="005503DD">
              <w:rPr>
                <w:sz w:val="36"/>
                <w:szCs w:val="36"/>
              </w:rPr>
              <w:t>:</w:t>
            </w:r>
          </w:p>
        </w:tc>
        <w:tc>
          <w:tcPr>
            <w:tcW w:w="2879" w:type="dxa"/>
          </w:tcPr>
          <w:p w14:paraId="4DA9A44F" w14:textId="77777777" w:rsidR="008D59B3" w:rsidRPr="005503DD" w:rsidRDefault="008D59B3" w:rsidP="00154C6B">
            <w:pPr>
              <w:rPr>
                <w:sz w:val="32"/>
                <w:szCs w:val="32"/>
              </w:rPr>
            </w:pPr>
          </w:p>
        </w:tc>
        <w:tc>
          <w:tcPr>
            <w:tcW w:w="1590" w:type="dxa"/>
          </w:tcPr>
          <w:p w14:paraId="00115926" w14:textId="77777777" w:rsidR="008D59B3" w:rsidRDefault="008D59B3" w:rsidP="00154C6B"/>
        </w:tc>
        <w:tc>
          <w:tcPr>
            <w:tcW w:w="2076" w:type="dxa"/>
          </w:tcPr>
          <w:p w14:paraId="3495B03E" w14:textId="77777777" w:rsidR="008D59B3" w:rsidRDefault="008D59B3" w:rsidP="00154C6B"/>
        </w:tc>
      </w:tr>
      <w:tr w:rsidR="008D59B3" w14:paraId="69FD91F0" w14:textId="77777777" w:rsidTr="00154C6B">
        <w:tc>
          <w:tcPr>
            <w:tcW w:w="3031" w:type="dxa"/>
          </w:tcPr>
          <w:p w14:paraId="54C797B1" w14:textId="77777777" w:rsidR="008D59B3" w:rsidRPr="005503DD" w:rsidRDefault="008D59B3" w:rsidP="00154C6B">
            <w:pPr>
              <w:rPr>
                <w:sz w:val="36"/>
                <w:szCs w:val="36"/>
              </w:rPr>
            </w:pPr>
            <w:r w:rsidRPr="005503DD">
              <w:rPr>
                <w:sz w:val="36"/>
                <w:szCs w:val="36"/>
              </w:rPr>
              <w:t>-Local:</w:t>
            </w:r>
          </w:p>
        </w:tc>
        <w:tc>
          <w:tcPr>
            <w:tcW w:w="2879" w:type="dxa"/>
          </w:tcPr>
          <w:p w14:paraId="08134C61" w14:textId="77777777" w:rsidR="008D59B3" w:rsidRPr="005503DD" w:rsidRDefault="008D59B3" w:rsidP="00154C6B">
            <w:pPr>
              <w:rPr>
                <w:sz w:val="32"/>
                <w:szCs w:val="32"/>
              </w:rPr>
            </w:pPr>
          </w:p>
        </w:tc>
        <w:tc>
          <w:tcPr>
            <w:tcW w:w="1590" w:type="dxa"/>
          </w:tcPr>
          <w:p w14:paraId="6765C801" w14:textId="77777777" w:rsidR="008D59B3" w:rsidRDefault="008D59B3" w:rsidP="00154C6B"/>
        </w:tc>
        <w:tc>
          <w:tcPr>
            <w:tcW w:w="2076" w:type="dxa"/>
          </w:tcPr>
          <w:p w14:paraId="46B6B2FE" w14:textId="77777777" w:rsidR="008D59B3" w:rsidRDefault="008D59B3" w:rsidP="00154C6B"/>
        </w:tc>
      </w:tr>
      <w:tr w:rsidR="008D59B3" w14:paraId="0B03CB92" w14:textId="77777777" w:rsidTr="00154C6B">
        <w:tc>
          <w:tcPr>
            <w:tcW w:w="3031" w:type="dxa"/>
          </w:tcPr>
          <w:p w14:paraId="3FD491F5" w14:textId="77777777" w:rsidR="008D59B3" w:rsidRPr="005503DD" w:rsidRDefault="008D59B3" w:rsidP="00154C6B">
            <w:pPr>
              <w:rPr>
                <w:sz w:val="36"/>
                <w:szCs w:val="36"/>
              </w:rPr>
            </w:pPr>
            <w:r w:rsidRPr="005503DD">
              <w:rPr>
                <w:sz w:val="36"/>
                <w:szCs w:val="36"/>
              </w:rPr>
              <w:t>-</w:t>
            </w:r>
            <w:proofErr w:type="spellStart"/>
            <w:r w:rsidRPr="005503DD">
              <w:rPr>
                <w:sz w:val="36"/>
                <w:szCs w:val="36"/>
              </w:rPr>
              <w:t>Varia</w:t>
            </w:r>
            <w:proofErr w:type="spellEnd"/>
            <w:r w:rsidRPr="005503DD">
              <w:rPr>
                <w:sz w:val="36"/>
                <w:szCs w:val="36"/>
              </w:rPr>
              <w:t>:</w:t>
            </w:r>
          </w:p>
        </w:tc>
        <w:tc>
          <w:tcPr>
            <w:tcW w:w="2879" w:type="dxa"/>
          </w:tcPr>
          <w:p w14:paraId="58F041D0" w14:textId="77777777" w:rsidR="008D59B3" w:rsidRPr="005503DD" w:rsidRDefault="008D59B3" w:rsidP="00154C6B">
            <w:pPr>
              <w:rPr>
                <w:sz w:val="32"/>
                <w:szCs w:val="32"/>
              </w:rPr>
            </w:pPr>
            <w:r>
              <w:rPr>
                <w:sz w:val="32"/>
                <w:szCs w:val="32"/>
              </w:rPr>
              <w:t>128.65</w:t>
            </w:r>
          </w:p>
        </w:tc>
        <w:tc>
          <w:tcPr>
            <w:tcW w:w="1590" w:type="dxa"/>
          </w:tcPr>
          <w:p w14:paraId="1419B24A" w14:textId="77777777" w:rsidR="008D59B3" w:rsidRDefault="008D59B3" w:rsidP="00154C6B"/>
        </w:tc>
        <w:tc>
          <w:tcPr>
            <w:tcW w:w="2076" w:type="dxa"/>
          </w:tcPr>
          <w:p w14:paraId="38D97FAC" w14:textId="77777777" w:rsidR="008D59B3" w:rsidRDefault="008D59B3" w:rsidP="00154C6B"/>
        </w:tc>
      </w:tr>
      <w:tr w:rsidR="008D59B3" w14:paraId="7F2BB003" w14:textId="77777777" w:rsidTr="00154C6B">
        <w:trPr>
          <w:trHeight w:val="889"/>
        </w:trPr>
        <w:tc>
          <w:tcPr>
            <w:tcW w:w="9576" w:type="dxa"/>
            <w:gridSpan w:val="4"/>
          </w:tcPr>
          <w:p w14:paraId="2BA54A9A" w14:textId="77777777" w:rsidR="008D59B3" w:rsidRDefault="008D59B3" w:rsidP="00154C6B"/>
        </w:tc>
      </w:tr>
      <w:tr w:rsidR="008D59B3" w14:paraId="2B7AF020" w14:textId="77777777" w:rsidTr="00154C6B">
        <w:tc>
          <w:tcPr>
            <w:tcW w:w="3031" w:type="dxa"/>
          </w:tcPr>
          <w:p w14:paraId="4A0C5A86" w14:textId="77777777" w:rsidR="008D59B3" w:rsidRPr="000904A0" w:rsidRDefault="008D59B3" w:rsidP="00154C6B">
            <w:pPr>
              <w:rPr>
                <w:b/>
                <w:sz w:val="36"/>
                <w:szCs w:val="36"/>
              </w:rPr>
            </w:pPr>
            <w:proofErr w:type="spellStart"/>
            <w:r>
              <w:rPr>
                <w:b/>
                <w:sz w:val="36"/>
                <w:szCs w:val="36"/>
              </w:rPr>
              <w:t>Solde</w:t>
            </w:r>
            <w:proofErr w:type="spellEnd"/>
            <w:r>
              <w:rPr>
                <w:b/>
                <w:sz w:val="36"/>
                <w:szCs w:val="36"/>
              </w:rPr>
              <w:t xml:space="preserve"> Courant:</w:t>
            </w:r>
          </w:p>
        </w:tc>
        <w:tc>
          <w:tcPr>
            <w:tcW w:w="4469" w:type="dxa"/>
            <w:gridSpan w:val="2"/>
          </w:tcPr>
          <w:p w14:paraId="56F9B533" w14:textId="77777777" w:rsidR="008D59B3" w:rsidRDefault="008D59B3" w:rsidP="00154C6B"/>
        </w:tc>
        <w:tc>
          <w:tcPr>
            <w:tcW w:w="2076" w:type="dxa"/>
          </w:tcPr>
          <w:p w14:paraId="44A93C4B" w14:textId="77777777" w:rsidR="008D59B3" w:rsidRPr="005503DD" w:rsidRDefault="008D59B3" w:rsidP="00154C6B">
            <w:pPr>
              <w:rPr>
                <w:b/>
                <w:sz w:val="36"/>
                <w:szCs w:val="36"/>
              </w:rPr>
            </w:pPr>
            <w:r>
              <w:rPr>
                <w:b/>
                <w:sz w:val="36"/>
                <w:szCs w:val="36"/>
              </w:rPr>
              <w:t>*5,768.20$</w:t>
            </w:r>
          </w:p>
        </w:tc>
      </w:tr>
      <w:tr w:rsidR="008D59B3" w:rsidRPr="00F14F99" w14:paraId="023E1020" w14:textId="77777777" w:rsidTr="00154C6B">
        <w:trPr>
          <w:trHeight w:val="889"/>
        </w:trPr>
        <w:tc>
          <w:tcPr>
            <w:tcW w:w="9576" w:type="dxa"/>
            <w:gridSpan w:val="4"/>
          </w:tcPr>
          <w:p w14:paraId="265ABE2A" w14:textId="77777777" w:rsidR="008D59B3" w:rsidRPr="008D59B3" w:rsidRDefault="008D59B3" w:rsidP="00154C6B">
            <w:pPr>
              <w:rPr>
                <w:sz w:val="24"/>
                <w:szCs w:val="24"/>
                <w:lang w:val="fr-CA"/>
              </w:rPr>
            </w:pPr>
            <w:r w:rsidRPr="008D59B3">
              <w:rPr>
                <w:b/>
                <w:sz w:val="36"/>
                <w:szCs w:val="36"/>
                <w:lang w:val="fr-CA"/>
              </w:rPr>
              <w:t xml:space="preserve">                                                                         *</w:t>
            </w:r>
            <w:r w:rsidRPr="008D59B3">
              <w:rPr>
                <w:sz w:val="24"/>
                <w:szCs w:val="24"/>
                <w:lang w:val="fr-CA"/>
              </w:rPr>
              <w:t>Moins les chèques en circulation</w:t>
            </w:r>
          </w:p>
        </w:tc>
      </w:tr>
      <w:tr w:rsidR="008D59B3" w14:paraId="0159E91A" w14:textId="77777777" w:rsidTr="00154C6B">
        <w:trPr>
          <w:trHeight w:val="889"/>
        </w:trPr>
        <w:tc>
          <w:tcPr>
            <w:tcW w:w="9576" w:type="dxa"/>
            <w:gridSpan w:val="4"/>
          </w:tcPr>
          <w:p w14:paraId="21FD5E50" w14:textId="77777777" w:rsidR="008D59B3" w:rsidRPr="008D59B3" w:rsidRDefault="008D59B3" w:rsidP="00154C6B">
            <w:pPr>
              <w:rPr>
                <w:sz w:val="32"/>
                <w:szCs w:val="32"/>
                <w:lang w:val="fr-CA"/>
              </w:rPr>
            </w:pPr>
            <w:proofErr w:type="spellStart"/>
            <w:r w:rsidRPr="008D59B3">
              <w:rPr>
                <w:sz w:val="32"/>
                <w:szCs w:val="32"/>
                <w:lang w:val="fr-CA"/>
              </w:rPr>
              <w:t>Epargne</w:t>
            </w:r>
            <w:proofErr w:type="spellEnd"/>
            <w:r w:rsidRPr="008D59B3">
              <w:rPr>
                <w:sz w:val="32"/>
                <w:szCs w:val="32"/>
                <w:lang w:val="fr-CA"/>
              </w:rPr>
              <w:t xml:space="preserve"> à intérêt quotidien</w:t>
            </w:r>
            <w:proofErr w:type="gramStart"/>
            <w:r w:rsidRPr="008D59B3">
              <w:rPr>
                <w:sz w:val="32"/>
                <w:szCs w:val="32"/>
                <w:lang w:val="fr-CA"/>
              </w:rPr>
              <w:t>:  6,293.36</w:t>
            </w:r>
            <w:proofErr w:type="gramEnd"/>
            <w:r w:rsidRPr="008D59B3">
              <w:rPr>
                <w:sz w:val="32"/>
                <w:szCs w:val="32"/>
                <w:lang w:val="fr-CA"/>
              </w:rPr>
              <w:t xml:space="preserve">$ (Taux d’intérêt: 3.00%).  </w:t>
            </w:r>
          </w:p>
          <w:p w14:paraId="1017EFDF" w14:textId="77777777" w:rsidR="008D59B3" w:rsidRPr="00EC7ACE" w:rsidRDefault="008D59B3" w:rsidP="00154C6B">
            <w:pPr>
              <w:rPr>
                <w:sz w:val="32"/>
                <w:szCs w:val="32"/>
              </w:rPr>
            </w:pPr>
            <w:r w:rsidRPr="00EC7ACE">
              <w:rPr>
                <w:sz w:val="32"/>
                <w:szCs w:val="32"/>
              </w:rPr>
              <w:t xml:space="preserve">Date </w:t>
            </w:r>
            <w:proofErr w:type="spellStart"/>
            <w:r w:rsidRPr="00EC7ACE">
              <w:rPr>
                <w:sz w:val="32"/>
                <w:szCs w:val="32"/>
              </w:rPr>
              <w:t>d’échéance</w:t>
            </w:r>
            <w:proofErr w:type="spellEnd"/>
            <w:r w:rsidRPr="00EC7ACE">
              <w:rPr>
                <w:sz w:val="32"/>
                <w:szCs w:val="32"/>
              </w:rPr>
              <w:t>: 16 mars 2026</w:t>
            </w:r>
          </w:p>
        </w:tc>
      </w:tr>
    </w:tbl>
    <w:p w14:paraId="73B583C9" w14:textId="77777777" w:rsidR="008D59B3" w:rsidRPr="00D243D4" w:rsidRDefault="008D59B3">
      <w:pPr>
        <w:rPr>
          <w:sz w:val="52"/>
          <w:szCs w:val="52"/>
        </w:rPr>
      </w:pPr>
    </w:p>
    <w:sectPr w:rsidR="008D59B3" w:rsidRPr="00D2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3D4"/>
    <w:rsid w:val="00157029"/>
    <w:rsid w:val="001F68AF"/>
    <w:rsid w:val="00230EDC"/>
    <w:rsid w:val="002C0B29"/>
    <w:rsid w:val="00623439"/>
    <w:rsid w:val="008D59B3"/>
    <w:rsid w:val="00B32131"/>
    <w:rsid w:val="00CC5715"/>
    <w:rsid w:val="00D219E2"/>
    <w:rsid w:val="00D243D4"/>
    <w:rsid w:val="00D6534A"/>
    <w:rsid w:val="00DD735D"/>
    <w:rsid w:val="00DF7C3D"/>
    <w:rsid w:val="00F14F99"/>
    <w:rsid w:val="00F17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7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43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43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43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43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43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43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3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3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3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3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43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43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43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43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43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3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3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3D4"/>
    <w:rPr>
      <w:rFonts w:eastAsiaTheme="majorEastAsia" w:cstheme="majorBidi"/>
      <w:color w:val="272727" w:themeColor="text1" w:themeTint="D8"/>
    </w:rPr>
  </w:style>
  <w:style w:type="paragraph" w:styleId="Title">
    <w:name w:val="Title"/>
    <w:basedOn w:val="Normal"/>
    <w:next w:val="Normal"/>
    <w:link w:val="TitleChar"/>
    <w:uiPriority w:val="10"/>
    <w:qFormat/>
    <w:rsid w:val="00D243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3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3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3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3D4"/>
    <w:pPr>
      <w:spacing w:before="160"/>
      <w:jc w:val="center"/>
    </w:pPr>
    <w:rPr>
      <w:i/>
      <w:iCs/>
      <w:color w:val="404040" w:themeColor="text1" w:themeTint="BF"/>
    </w:rPr>
  </w:style>
  <w:style w:type="character" w:customStyle="1" w:styleId="QuoteChar">
    <w:name w:val="Quote Char"/>
    <w:basedOn w:val="DefaultParagraphFont"/>
    <w:link w:val="Quote"/>
    <w:uiPriority w:val="29"/>
    <w:rsid w:val="00D243D4"/>
    <w:rPr>
      <w:i/>
      <w:iCs/>
      <w:color w:val="404040" w:themeColor="text1" w:themeTint="BF"/>
    </w:rPr>
  </w:style>
  <w:style w:type="paragraph" w:styleId="ListParagraph">
    <w:name w:val="List Paragraph"/>
    <w:basedOn w:val="Normal"/>
    <w:uiPriority w:val="34"/>
    <w:qFormat/>
    <w:rsid w:val="00D243D4"/>
    <w:pPr>
      <w:ind w:left="720"/>
      <w:contextualSpacing/>
    </w:pPr>
  </w:style>
  <w:style w:type="character" w:styleId="IntenseEmphasis">
    <w:name w:val="Intense Emphasis"/>
    <w:basedOn w:val="DefaultParagraphFont"/>
    <w:uiPriority w:val="21"/>
    <w:qFormat/>
    <w:rsid w:val="00D243D4"/>
    <w:rPr>
      <w:i/>
      <w:iCs/>
      <w:color w:val="2F5496" w:themeColor="accent1" w:themeShade="BF"/>
    </w:rPr>
  </w:style>
  <w:style w:type="paragraph" w:styleId="IntenseQuote">
    <w:name w:val="Intense Quote"/>
    <w:basedOn w:val="Normal"/>
    <w:next w:val="Normal"/>
    <w:link w:val="IntenseQuoteChar"/>
    <w:uiPriority w:val="30"/>
    <w:qFormat/>
    <w:rsid w:val="00D243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43D4"/>
    <w:rPr>
      <w:i/>
      <w:iCs/>
      <w:color w:val="2F5496" w:themeColor="accent1" w:themeShade="BF"/>
    </w:rPr>
  </w:style>
  <w:style w:type="character" w:styleId="IntenseReference">
    <w:name w:val="Intense Reference"/>
    <w:basedOn w:val="DefaultParagraphFont"/>
    <w:uiPriority w:val="32"/>
    <w:qFormat/>
    <w:rsid w:val="00D243D4"/>
    <w:rPr>
      <w:b/>
      <w:bCs/>
      <w:smallCaps/>
      <w:color w:val="2F5496" w:themeColor="accent1" w:themeShade="BF"/>
      <w:spacing w:val="5"/>
    </w:rPr>
  </w:style>
  <w:style w:type="paragraph" w:styleId="BalloonText">
    <w:name w:val="Balloon Text"/>
    <w:basedOn w:val="Normal"/>
    <w:link w:val="BalloonTextChar"/>
    <w:uiPriority w:val="99"/>
    <w:semiHidden/>
    <w:unhideWhenUsed/>
    <w:rsid w:val="00230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EDC"/>
    <w:rPr>
      <w:rFonts w:ascii="Tahoma" w:hAnsi="Tahoma" w:cs="Tahoma"/>
      <w:sz w:val="16"/>
      <w:szCs w:val="16"/>
    </w:rPr>
  </w:style>
  <w:style w:type="table" w:styleId="TableGrid">
    <w:name w:val="Table Grid"/>
    <w:basedOn w:val="TableNormal"/>
    <w:uiPriority w:val="39"/>
    <w:unhideWhenUsed/>
    <w:rsid w:val="008D59B3"/>
    <w:pPr>
      <w:spacing w:after="0" w:line="240" w:lineRule="auto"/>
    </w:pPr>
    <w:rPr>
      <w:sz w:val="22"/>
      <w:szCs w:val="22"/>
      <w:lang w:val="en-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43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43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43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43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43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43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3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3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3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3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43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43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43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43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43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3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3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3D4"/>
    <w:rPr>
      <w:rFonts w:eastAsiaTheme="majorEastAsia" w:cstheme="majorBidi"/>
      <w:color w:val="272727" w:themeColor="text1" w:themeTint="D8"/>
    </w:rPr>
  </w:style>
  <w:style w:type="paragraph" w:styleId="Title">
    <w:name w:val="Title"/>
    <w:basedOn w:val="Normal"/>
    <w:next w:val="Normal"/>
    <w:link w:val="TitleChar"/>
    <w:uiPriority w:val="10"/>
    <w:qFormat/>
    <w:rsid w:val="00D243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3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3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3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3D4"/>
    <w:pPr>
      <w:spacing w:before="160"/>
      <w:jc w:val="center"/>
    </w:pPr>
    <w:rPr>
      <w:i/>
      <w:iCs/>
      <w:color w:val="404040" w:themeColor="text1" w:themeTint="BF"/>
    </w:rPr>
  </w:style>
  <w:style w:type="character" w:customStyle="1" w:styleId="QuoteChar">
    <w:name w:val="Quote Char"/>
    <w:basedOn w:val="DefaultParagraphFont"/>
    <w:link w:val="Quote"/>
    <w:uiPriority w:val="29"/>
    <w:rsid w:val="00D243D4"/>
    <w:rPr>
      <w:i/>
      <w:iCs/>
      <w:color w:val="404040" w:themeColor="text1" w:themeTint="BF"/>
    </w:rPr>
  </w:style>
  <w:style w:type="paragraph" w:styleId="ListParagraph">
    <w:name w:val="List Paragraph"/>
    <w:basedOn w:val="Normal"/>
    <w:uiPriority w:val="34"/>
    <w:qFormat/>
    <w:rsid w:val="00D243D4"/>
    <w:pPr>
      <w:ind w:left="720"/>
      <w:contextualSpacing/>
    </w:pPr>
  </w:style>
  <w:style w:type="character" w:styleId="IntenseEmphasis">
    <w:name w:val="Intense Emphasis"/>
    <w:basedOn w:val="DefaultParagraphFont"/>
    <w:uiPriority w:val="21"/>
    <w:qFormat/>
    <w:rsid w:val="00D243D4"/>
    <w:rPr>
      <w:i/>
      <w:iCs/>
      <w:color w:val="2F5496" w:themeColor="accent1" w:themeShade="BF"/>
    </w:rPr>
  </w:style>
  <w:style w:type="paragraph" w:styleId="IntenseQuote">
    <w:name w:val="Intense Quote"/>
    <w:basedOn w:val="Normal"/>
    <w:next w:val="Normal"/>
    <w:link w:val="IntenseQuoteChar"/>
    <w:uiPriority w:val="30"/>
    <w:qFormat/>
    <w:rsid w:val="00D243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43D4"/>
    <w:rPr>
      <w:i/>
      <w:iCs/>
      <w:color w:val="2F5496" w:themeColor="accent1" w:themeShade="BF"/>
    </w:rPr>
  </w:style>
  <w:style w:type="character" w:styleId="IntenseReference">
    <w:name w:val="Intense Reference"/>
    <w:basedOn w:val="DefaultParagraphFont"/>
    <w:uiPriority w:val="32"/>
    <w:qFormat/>
    <w:rsid w:val="00D243D4"/>
    <w:rPr>
      <w:b/>
      <w:bCs/>
      <w:smallCaps/>
      <w:color w:val="2F5496" w:themeColor="accent1" w:themeShade="BF"/>
      <w:spacing w:val="5"/>
    </w:rPr>
  </w:style>
  <w:style w:type="paragraph" w:styleId="BalloonText">
    <w:name w:val="Balloon Text"/>
    <w:basedOn w:val="Normal"/>
    <w:link w:val="BalloonTextChar"/>
    <w:uiPriority w:val="99"/>
    <w:semiHidden/>
    <w:unhideWhenUsed/>
    <w:rsid w:val="00230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EDC"/>
    <w:rPr>
      <w:rFonts w:ascii="Tahoma" w:hAnsi="Tahoma" w:cs="Tahoma"/>
      <w:sz w:val="16"/>
      <w:szCs w:val="16"/>
    </w:rPr>
  </w:style>
  <w:style w:type="table" w:styleId="TableGrid">
    <w:name w:val="Table Grid"/>
    <w:basedOn w:val="TableNormal"/>
    <w:uiPriority w:val="39"/>
    <w:unhideWhenUsed/>
    <w:rsid w:val="008D59B3"/>
    <w:pPr>
      <w:spacing w:after="0" w:line="240" w:lineRule="auto"/>
    </w:pPr>
    <w:rPr>
      <w:sz w:val="22"/>
      <w:szCs w:val="22"/>
      <w:lang w:val="en-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501</Words>
  <Characters>2758</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Ghislaine1</dc:creator>
  <cp:lastModifiedBy>Patrice</cp:lastModifiedBy>
  <cp:revision>3</cp:revision>
  <cp:lastPrinted>2025-11-26T09:28:00Z</cp:lastPrinted>
  <dcterms:created xsi:type="dcterms:W3CDTF">2025-11-26T09:29:00Z</dcterms:created>
  <dcterms:modified xsi:type="dcterms:W3CDTF">2025-12-01T02:47:00Z</dcterms:modified>
</cp:coreProperties>
</file>